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r>
        <w:rPr>
          <w:rFonts w:hint="eastAsia" w:ascii="宋体" w:hAnsi="宋体" w:eastAsia="宋体"/>
          <w:b/>
          <w:bCs/>
          <w:sz w:val="32"/>
          <w:szCs w:val="32"/>
          <w:lang w:eastAsia="zh-CN"/>
        </w:rPr>
        <w:t>河南住方科技有限公司年产80万平方米铝合金门窗生产制造项目、扩建年产40万平方米铝合金门窗生产制造项目</w:t>
      </w:r>
      <w:r>
        <w:rPr>
          <w:rFonts w:ascii="宋体" w:hAnsi="宋体" w:eastAsia="宋体"/>
          <w:b/>
          <w:bCs/>
          <w:sz w:val="32"/>
          <w:szCs w:val="32"/>
        </w:rPr>
        <w:t>竣工环境保护验收</w:t>
      </w:r>
      <w:r>
        <w:rPr>
          <w:rFonts w:hint="eastAsia" w:ascii="宋体" w:hAnsi="宋体" w:eastAsia="宋体"/>
          <w:b/>
          <w:bCs/>
          <w:sz w:val="32"/>
          <w:szCs w:val="32"/>
        </w:rPr>
        <w:t>意见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河南住方科技有限公司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eastAsia="zh-CN"/>
        </w:rPr>
        <w:t>本项目位于</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新乡市卫辉市后河镇工业园区，</w:t>
      </w:r>
      <w:r>
        <w:rPr>
          <w:rFonts w:hint="eastAsia" w:ascii="Times New Roman" w:hAnsi="Times New Roman" w:eastAsia="宋体" w:cs="Times New Roman"/>
          <w:sz w:val="28"/>
          <w:szCs w:val="28"/>
          <w:highlight w:val="none"/>
          <w:lang w:eastAsia="zh-CN"/>
        </w:rPr>
        <w:t>占地面积</w:t>
      </w:r>
      <w:r>
        <w:rPr>
          <w:rFonts w:hint="eastAsia" w:ascii="Times New Roman" w:hAnsi="Times New Roman" w:eastAsia="宋体" w:cs="Times New Roman"/>
          <w:sz w:val="28"/>
          <w:szCs w:val="28"/>
          <w:highlight w:val="none"/>
          <w:lang w:val="en-US" w:eastAsia="zh-CN"/>
        </w:rPr>
        <w:t>20150</w:t>
      </w:r>
      <w:r>
        <w:rPr>
          <w:rFonts w:hint="eastAsia" w:ascii="Times New Roman" w:hAnsi="Times New Roman" w:eastAsia="宋体" w:cs="Times New Roman"/>
          <w:sz w:val="28"/>
          <w:szCs w:val="28"/>
          <w:highlight w:val="none"/>
          <w:lang w:eastAsia="zh-CN"/>
        </w:rPr>
        <w:t>m</w:t>
      </w:r>
      <w:r>
        <w:rPr>
          <w:rFonts w:hint="eastAsia" w:ascii="Times New Roman" w:hAnsi="Times New Roman" w:eastAsia="宋体" w:cs="Times New Roman"/>
          <w:sz w:val="28"/>
          <w:szCs w:val="28"/>
          <w:highlight w:val="none"/>
          <w:vertAlign w:val="superscript"/>
          <w:lang w:eastAsia="zh-CN"/>
        </w:rPr>
        <w:t>2</w:t>
      </w:r>
      <w:r>
        <w:rPr>
          <w:rFonts w:hint="eastAsia" w:ascii="Times New Roman" w:hAnsi="Times New Roman" w:eastAsia="宋体" w:cs="Times New Roman"/>
          <w:sz w:val="28"/>
          <w:szCs w:val="28"/>
          <w:highlight w:val="none"/>
          <w:lang w:eastAsia="zh-CN"/>
        </w:rPr>
        <w:t>，主要构筑物为</w:t>
      </w:r>
      <w:r>
        <w:rPr>
          <w:rFonts w:hint="eastAsia" w:ascii="Times New Roman" w:hAnsi="Times New Roman" w:eastAsia="宋体" w:cs="Times New Roman"/>
          <w:b w:val="0"/>
          <w:bCs w:val="0"/>
          <w:sz w:val="28"/>
          <w:szCs w:val="28"/>
          <w:highlight w:val="none"/>
          <w:u w:val="none"/>
          <w:lang w:eastAsia="zh-CN"/>
        </w:rPr>
        <w:t>生产</w:t>
      </w:r>
      <w:r>
        <w:rPr>
          <w:rFonts w:hint="default" w:ascii="Times New Roman" w:hAnsi="Times New Roman" w:eastAsia="宋体" w:cs="Times New Roman"/>
          <w:b w:val="0"/>
          <w:bCs w:val="0"/>
          <w:sz w:val="28"/>
          <w:szCs w:val="28"/>
          <w:highlight w:val="none"/>
          <w:u w:val="none"/>
          <w:lang w:eastAsia="zh-CN"/>
        </w:rPr>
        <w:t>车间</w:t>
      </w:r>
      <w:r>
        <w:rPr>
          <w:rFonts w:hint="eastAsia" w:ascii="Times New Roman" w:hAnsi="Times New Roman" w:eastAsia="宋体" w:cs="Times New Roman"/>
          <w:b w:val="0"/>
          <w:bCs w:val="0"/>
          <w:sz w:val="28"/>
          <w:szCs w:val="28"/>
          <w:highlight w:val="none"/>
          <w:u w:val="none"/>
          <w:lang w:eastAsia="zh-CN"/>
        </w:rPr>
        <w:t>、</w:t>
      </w:r>
      <w:r>
        <w:rPr>
          <w:rFonts w:hint="default" w:ascii="Times New Roman" w:hAnsi="Times New Roman" w:eastAsia="宋体" w:cs="Times New Roman"/>
          <w:color w:val="auto"/>
          <w:sz w:val="28"/>
          <w:szCs w:val="28"/>
          <w:highlight w:val="none"/>
          <w:vertAlign w:val="baseline"/>
          <w:lang w:eastAsia="zh-CN"/>
        </w:rPr>
        <w:t>原料、成品区</w:t>
      </w:r>
      <w:r>
        <w:rPr>
          <w:rFonts w:hint="default" w:ascii="Times New Roman" w:hAnsi="Times New Roman" w:eastAsia="宋体" w:cs="Times New Roman"/>
          <w:b w:val="0"/>
          <w:bCs w:val="0"/>
          <w:sz w:val="28"/>
          <w:szCs w:val="28"/>
          <w:highlight w:val="none"/>
          <w:u w:val="none"/>
          <w:lang w:eastAsia="zh-CN"/>
        </w:rPr>
        <w:t>和</w:t>
      </w:r>
      <w:r>
        <w:rPr>
          <w:rFonts w:hint="eastAsia" w:ascii="Times New Roman" w:hAnsi="Times New Roman" w:eastAsia="宋体" w:cs="Times New Roman"/>
          <w:b w:val="0"/>
          <w:bCs w:val="0"/>
          <w:sz w:val="28"/>
          <w:szCs w:val="28"/>
          <w:highlight w:val="none"/>
          <w:u w:val="none"/>
          <w:lang w:eastAsia="zh-CN"/>
        </w:rPr>
        <w:t>办公楼</w:t>
      </w:r>
      <w:r>
        <w:rPr>
          <w:rFonts w:hint="eastAsia" w:ascii="Times New Roman" w:hAnsi="Times New Roman" w:eastAsia="宋体" w:cs="Times New Roman"/>
          <w:sz w:val="28"/>
          <w:szCs w:val="28"/>
          <w:highlight w:val="none"/>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河南住方科技有限公司根据市场需求</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投资</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4000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万元</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新乡市卫辉市后河镇工业园区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年产80万平方米铝合金门窗生产制造项目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月委托济源蓝天科技有限责任公司编制《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河南住方科技有限公司年产80万平方米铝合金门窗生产制造项目</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日通过卫辉市环境保护局审批，审批文号为卫环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监</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河南住方科技有限公司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投资</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2000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万元</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新乡市卫辉市后河镇工业园区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扩建年产 40 万平方米铝合金门窗生产制造项目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bookmarkStart w:id="0" w:name="_Hlk496987392"/>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新乡市国环宏博节能环保科技有限公司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编制《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河南住方科技有限公司扩建年产 40 万平方米铝合金门窗生产制造项目</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w:t>
      </w:r>
      <w:bookmarkStart w:id="1" w:name="_Hlk49698027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通过卫辉市环境保护局审批，审批文号为卫环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监</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bookmarkEnd w:id="0"/>
      <w:bookmarkEnd w:id="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根据《建设项目环境保护管理条例》和《建设项目竣工环境保护验收暂行办法》（国环规环评[2017]4号），</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河南住方科技有限公司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对本项目组织实施验收。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年产80万平方米铝合金门窗生产制造</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项目于20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月开工建设，20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月竣工，并于20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开始设备调试</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年产80万平方米铝合金门窗生产制造</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项目于20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月开工建设，20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月竣工，并于20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开始设备调试</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。河南永蓝检测技术有限公司于</w:t>
      </w:r>
      <w:bookmarkStart w:id="2" w:name="_Hlk496985984"/>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日至</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w:t>
      </w:r>
      <w:bookmarkEnd w:id="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对建设项目进行了竣工验收监测并出具监测报告。</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2020年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河南住方科技有限公司</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为该项目编制竣工环境保护验收监测报告。在项目到调试过程中无环境投诉、违法或处罚记录等。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auto"/>
          <w:sz w:val="28"/>
          <w:szCs w:val="28"/>
          <w:highlight w:val="none"/>
        </w:rPr>
        <w:t>本项目总投资为</w:t>
      </w:r>
      <w:r>
        <w:rPr>
          <w:rFonts w:hint="eastAsia" w:ascii="Times New Roman" w:hAnsi="Times New Roman" w:eastAsia="宋体" w:cs="Times New Roman"/>
          <w:color w:val="auto"/>
          <w:sz w:val="28"/>
          <w:szCs w:val="28"/>
          <w:highlight w:val="none"/>
          <w:lang w:val="en-US" w:eastAsia="zh-CN"/>
        </w:rPr>
        <w:t>300</w:t>
      </w:r>
      <w:r>
        <w:rPr>
          <w:rFonts w:hint="default" w:ascii="Times New Roman" w:hAnsi="Times New Roman" w:eastAsia="宋体" w:cs="Times New Roman"/>
          <w:color w:val="auto"/>
          <w:sz w:val="28"/>
          <w:szCs w:val="28"/>
          <w:highlight w:val="none"/>
        </w:rPr>
        <w:t>万元，其中环保投资为</w:t>
      </w:r>
      <w:r>
        <w:rPr>
          <w:rFonts w:hint="eastAsia" w:ascii="Times New Roman" w:hAnsi="Times New Roman" w:eastAsia="宋体" w:cs="Times New Roman"/>
          <w:color w:val="auto"/>
          <w:sz w:val="28"/>
          <w:szCs w:val="28"/>
          <w:highlight w:val="none"/>
          <w:lang w:val="en-US" w:eastAsia="zh-CN"/>
        </w:rPr>
        <w:t>14.5</w:t>
      </w:r>
      <w:r>
        <w:rPr>
          <w:rFonts w:hint="default" w:ascii="Times New Roman" w:hAnsi="Times New Roman" w:eastAsia="宋体" w:cs="Times New Roman"/>
          <w:color w:val="auto"/>
          <w:sz w:val="28"/>
          <w:szCs w:val="28"/>
          <w:highlight w:val="none"/>
        </w:rPr>
        <w:t>万元，占总投资的</w:t>
      </w:r>
      <w:r>
        <w:rPr>
          <w:rFonts w:hint="eastAsia" w:ascii="Times New Roman" w:hAnsi="Times New Roman" w:eastAsia="宋体" w:cs="Times New Roman"/>
          <w:color w:val="auto"/>
          <w:sz w:val="28"/>
          <w:szCs w:val="28"/>
          <w:highlight w:val="none"/>
          <w:lang w:val="en-US" w:eastAsia="zh-CN"/>
        </w:rPr>
        <w:t>4.8</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；实际总投资</w:t>
      </w:r>
      <w:r>
        <w:rPr>
          <w:rFonts w:hint="eastAsia" w:ascii="Times New Roman" w:hAnsi="Times New Roman" w:eastAsia="宋体" w:cs="Times New Roman"/>
          <w:color w:val="auto"/>
          <w:sz w:val="28"/>
          <w:szCs w:val="28"/>
          <w:highlight w:val="none"/>
          <w:lang w:val="en-US" w:eastAsia="zh-CN"/>
        </w:rPr>
        <w:t>300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，其中环保投资</w:t>
      </w:r>
      <w:r>
        <w:rPr>
          <w:rFonts w:hint="eastAsia" w:ascii="Times New Roman" w:hAnsi="Times New Roman" w:eastAsia="宋体" w:cs="Times New Roman"/>
          <w:color w:val="auto"/>
          <w:sz w:val="28"/>
          <w:szCs w:val="28"/>
          <w:highlight w:val="none"/>
          <w:lang w:val="en-US" w:eastAsia="zh-CN"/>
        </w:rPr>
        <w:t>14.5</w:t>
      </w:r>
      <w:r>
        <w:rPr>
          <w:rFonts w:hint="default" w:ascii="Times New Roman" w:hAnsi="Times New Roman" w:eastAsia="宋体" w:cs="Times New Roman"/>
          <w:color w:val="auto"/>
          <w:sz w:val="28"/>
          <w:szCs w:val="28"/>
          <w:highlight w:val="none"/>
        </w:rPr>
        <w:t>万元，占实际总投资</w:t>
      </w:r>
      <w:r>
        <w:rPr>
          <w:rFonts w:hint="eastAsia" w:ascii="Times New Roman" w:hAnsi="Times New Roman" w:eastAsia="宋体" w:cs="Times New Roman"/>
          <w:color w:val="auto"/>
          <w:sz w:val="28"/>
          <w:szCs w:val="28"/>
          <w:highlight w:val="none"/>
          <w:lang w:val="en-US" w:eastAsia="zh-CN"/>
        </w:rPr>
        <w:t>4.8</w:t>
      </w:r>
      <w:r>
        <w:rPr>
          <w:rFonts w:hint="default" w:ascii="Times New Roman" w:hAnsi="Times New Roman" w:eastAsia="宋体" w:cs="Times New Roman"/>
          <w:color w:val="auto"/>
          <w:sz w:val="28"/>
          <w:szCs w:val="28"/>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河南住方科技有限公司年产80万平方米铝合金门窗生产制造项目、扩建年产40万平方米铝合金门窗生产制造项目</w:t>
      </w:r>
      <w:r>
        <w:rPr>
          <w:rFonts w:hint="default" w:ascii="Times New Roman" w:hAnsi="Times New Roman"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经现场实地勘察，项目实际建设与原环评报告及环评批复存在以下变动：</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8" w:rightChars="0" w:firstLine="560" w:firstLineChars="200"/>
        <w:textAlignment w:val="auto"/>
        <w:rPr>
          <w:rFonts w:hint="eastAsia" w:ascii="Times New Roman" w:hAnsi="Times New Roman" w:eastAsia="宋体" w:cs="Times New Roman"/>
          <w:b w:val="0"/>
          <w:color w:val="FF0000"/>
          <w:kern w:val="2"/>
          <w:sz w:val="28"/>
          <w:szCs w:val="24"/>
          <w:highlight w:val="none"/>
          <w:lang w:val="en-US" w:eastAsia="zh-CN" w:bidi="ar-SA"/>
        </w:rPr>
      </w:pPr>
      <w:r>
        <w:rPr>
          <w:rFonts w:hint="default" w:ascii="Times New Roman" w:hAnsi="Times New Roman"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生产设备变动：年产80万平方米铝合金门窗生产制造项目在实际生产过程中减少了1台数控双头锯，2台六轴端面铣，2台双柱液压冲床，1台双头仿型铣，3台组角机，2台数控角码锯，1台台钻，扩建年产40万平方米铝合金门窗生产制造</w:t>
      </w:r>
      <w:r>
        <w:rPr>
          <w:rFonts w:hint="default" w:ascii="Times New Roman" w:hAnsi="Times New Roman" w:eastAsia="宋体" w:cs="Times New Roman"/>
          <w:sz w:val="28"/>
          <w:szCs w:val="28"/>
          <w:highlight w:val="none"/>
          <w:lang w:val="en-US" w:eastAsia="zh-CN"/>
        </w:rPr>
        <w:t>项</w:t>
      </w:r>
      <w:r>
        <w:rPr>
          <w:rFonts w:hint="eastAsia" w:ascii="Times New Roman" w:hAnsi="Times New Roman" w:eastAsia="宋体" w:cs="Times New Roman"/>
          <w:sz w:val="28"/>
          <w:szCs w:val="28"/>
          <w:highlight w:val="none"/>
          <w:lang w:val="en-US" w:eastAsia="zh-CN"/>
        </w:rPr>
        <w:t>目在实际生产过程中减少了10台数控双头锯，1台六轴端面铣，3台双柱液压冲床，</w:t>
      </w:r>
      <w:r>
        <w:rPr>
          <w:rFonts w:hint="eastAsia" w:ascii="Times New Roman" w:hAnsi="Times New Roman"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台双头仿型铣，</w:t>
      </w:r>
      <w:r>
        <w:rPr>
          <w:rFonts w:hint="eastAsia" w:ascii="Times New Roman" w:hAnsi="Times New Roman" w:cs="Times New Roman"/>
          <w:sz w:val="28"/>
          <w:szCs w:val="28"/>
          <w:highlight w:val="none"/>
          <w:lang w:val="en-US" w:eastAsia="zh-CN"/>
        </w:rPr>
        <w:t>1台多头群钻，</w:t>
      </w:r>
      <w:r>
        <w:rPr>
          <w:rFonts w:hint="eastAsia" w:ascii="Times New Roman" w:hAnsi="Times New Roman" w:eastAsia="宋体" w:cs="Times New Roman"/>
          <w:sz w:val="28"/>
          <w:szCs w:val="28"/>
          <w:highlight w:val="none"/>
          <w:lang w:val="en-US" w:eastAsia="zh-CN"/>
        </w:rPr>
        <w:t>3台铰链机，</w:t>
      </w:r>
      <w:r>
        <w:rPr>
          <w:rFonts w:hint="eastAsia" w:ascii="Times New Roman" w:hAnsi="Times New Roman" w:cs="Times New Roman"/>
          <w:sz w:val="28"/>
          <w:szCs w:val="28"/>
          <w:highlight w:val="none"/>
          <w:lang w:val="en-US" w:eastAsia="zh-CN"/>
        </w:rPr>
        <w:t>2</w:t>
      </w:r>
      <w:r>
        <w:rPr>
          <w:rFonts w:hint="eastAsia" w:ascii="Times New Roman" w:hAnsi="Times New Roman" w:eastAsia="宋体" w:cs="Times New Roman"/>
          <w:sz w:val="28"/>
          <w:szCs w:val="28"/>
          <w:highlight w:val="none"/>
          <w:lang w:val="en-US" w:eastAsia="zh-CN"/>
        </w:rPr>
        <w:t>台平开液压机，与原环评报告对照，设备数量有所减少，但在实际建设时目前现有设备的生产能力能够达到75%产能的要求，不新增产能及污染物，符合验收要求。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b w:val="0"/>
          <w:kern w:val="2"/>
          <w:sz w:val="28"/>
          <w:szCs w:val="24"/>
          <w:highlight w:val="none"/>
          <w:lang w:val="en-US" w:eastAsia="zh-CN" w:bidi="ar-SA"/>
        </w:rPr>
      </w:pPr>
      <w:r>
        <w:rPr>
          <w:rFonts w:hint="default" w:ascii="Times New Roman" w:hAnsi="Times New Roman" w:eastAsia="宋体" w:cs="Times New Roman"/>
          <w:b w:val="0"/>
          <w:kern w:val="2"/>
          <w:sz w:val="28"/>
          <w:szCs w:val="24"/>
          <w:highlight w:val="none"/>
          <w:lang w:val="en-US" w:eastAsia="zh-CN" w:bidi="ar-SA"/>
        </w:rPr>
        <w:t>（2）</w:t>
      </w:r>
      <w:r>
        <w:rPr>
          <w:rFonts w:hint="eastAsia" w:ascii="宋体" w:hAnsi="宋体" w:eastAsia="宋体" w:cs="宋体"/>
          <w:b w:val="0"/>
          <w:kern w:val="2"/>
          <w:sz w:val="28"/>
          <w:szCs w:val="24"/>
          <w:highlight w:val="none"/>
          <w:lang w:val="en-US" w:eastAsia="zh-CN" w:bidi="ar-SA"/>
        </w:rPr>
        <w:t>工艺变动：与原环评相比，年产</w:t>
      </w:r>
      <w:r>
        <w:rPr>
          <w:rFonts w:hint="default" w:ascii="Times New Roman" w:hAnsi="Times New Roman" w:eastAsia="宋体" w:cs="Times New Roman"/>
          <w:b w:val="0"/>
          <w:kern w:val="2"/>
          <w:sz w:val="28"/>
          <w:szCs w:val="24"/>
          <w:highlight w:val="none"/>
          <w:lang w:val="en-US" w:eastAsia="zh-CN" w:bidi="ar-SA"/>
        </w:rPr>
        <w:t>80</w:t>
      </w:r>
      <w:r>
        <w:rPr>
          <w:rFonts w:hint="eastAsia" w:ascii="宋体" w:hAnsi="宋体" w:eastAsia="宋体" w:cs="宋体"/>
          <w:b w:val="0"/>
          <w:kern w:val="2"/>
          <w:sz w:val="28"/>
          <w:szCs w:val="24"/>
          <w:highlight w:val="none"/>
          <w:lang w:val="en-US" w:eastAsia="zh-CN" w:bidi="ar-SA"/>
        </w:rPr>
        <w:t>万平方米铝合金门窗生产制造项目生产工艺流程里的打胶改为外协，生产工艺改变，但污染物因子和数量均减少，优于环评，不属于重大变更。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en-US" w:eastAsia="zh-CN" w:bidi="ar-SA"/>
        </w:rPr>
        <w:t>（3）环保设施变动：因工艺打胶改为外协，</w:t>
      </w:r>
      <w:r>
        <w:rPr>
          <w:rFonts w:hint="eastAsia" w:ascii="Times New Roman" w:hAnsi="Times New Roman" w:eastAsia="宋体" w:cs="Times New Roman"/>
          <w:b w:val="0"/>
          <w:kern w:val="2"/>
          <w:sz w:val="28"/>
          <w:szCs w:val="24"/>
          <w:highlight w:val="none"/>
          <w:lang w:val="en-US" w:eastAsia="zh-CN" w:bidi="ar-SA"/>
        </w:rPr>
        <w:t>UV光氧不需建设。企业实际生产过程中员工在厂内食宿改为不在厂内食宿，因此油烟净化器不需安装，隔油池不需建设。</w:t>
      </w:r>
      <w:r>
        <w:rPr>
          <w:rFonts w:hint="eastAsia" w:ascii="宋体" w:hAnsi="宋体" w:eastAsia="宋体" w:cs="宋体"/>
          <w:b w:val="0"/>
          <w:kern w:val="2"/>
          <w:sz w:val="28"/>
          <w:szCs w:val="24"/>
          <w:highlight w:val="none"/>
          <w:lang w:val="en-US" w:eastAsia="zh-CN" w:bidi="ar-SA"/>
        </w:rPr>
        <w:t>污染物因子和数量均减少，优于环评，不属于重大变更。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b w:val="0"/>
          <w:kern w:val="2"/>
          <w:sz w:val="28"/>
          <w:szCs w:val="24"/>
          <w:highlight w:val="none"/>
          <w:lang w:val="en-US" w:eastAsia="zh-CN" w:bidi="ar-SA"/>
        </w:rPr>
      </w:pPr>
      <w:r>
        <w:rPr>
          <w:rFonts w:hint="default" w:ascii="Times New Roman" w:hAnsi="Times New Roman" w:eastAsia="宋体" w:cs="Times New Roman"/>
          <w:b w:val="0"/>
          <w:kern w:val="2"/>
          <w:sz w:val="28"/>
          <w:szCs w:val="24"/>
          <w:highlight w:val="none"/>
          <w:lang w:val="en-US" w:eastAsia="zh-CN" w:bidi="ar-SA"/>
        </w:rPr>
        <w:t>（</w:t>
      </w:r>
      <w:r>
        <w:rPr>
          <w:rFonts w:hint="eastAsia" w:ascii="Times New Roman" w:hAnsi="Times New Roman" w:eastAsia="宋体" w:cs="Times New Roman"/>
          <w:b w:val="0"/>
          <w:kern w:val="2"/>
          <w:sz w:val="28"/>
          <w:szCs w:val="24"/>
          <w:highlight w:val="none"/>
          <w:lang w:val="en-US" w:eastAsia="zh-CN" w:bidi="ar-SA"/>
        </w:rPr>
        <w:t>4</w:t>
      </w:r>
      <w:r>
        <w:rPr>
          <w:rFonts w:hint="default" w:ascii="Times New Roman" w:hAnsi="Times New Roman" w:eastAsia="宋体" w:cs="Times New Roman"/>
          <w:b w:val="0"/>
          <w:kern w:val="2"/>
          <w:sz w:val="28"/>
          <w:szCs w:val="24"/>
          <w:highlight w:val="none"/>
          <w:lang w:val="en-US" w:eastAsia="zh-CN" w:bidi="ar-SA"/>
        </w:rPr>
        <w:t>）</w:t>
      </w:r>
      <w:r>
        <w:rPr>
          <w:rFonts w:hint="eastAsia" w:ascii="Times New Roman" w:hAnsi="Times New Roman" w:eastAsia="宋体" w:cs="Times New Roman"/>
          <w:b w:val="0"/>
          <w:kern w:val="2"/>
          <w:sz w:val="28"/>
          <w:szCs w:val="24"/>
          <w:highlight w:val="none"/>
          <w:lang w:val="en-US" w:eastAsia="zh-CN" w:bidi="ar-SA"/>
        </w:rPr>
        <w:t>危废变动：企业实际建设中减少打胶工艺，因此UV光氧不需建设，废紫外灯管、废催化版和废活性炭不产生。企业在实际生产过程中液压油使用量很少，危废只有含油废抹布，没有液态废液压油产生。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b w:val="0"/>
          <w:kern w:val="2"/>
          <w:sz w:val="28"/>
          <w:szCs w:val="24"/>
          <w:highlight w:val="none"/>
          <w:lang w:val="en-US" w:eastAsia="zh-CN" w:bidi="ar-SA"/>
        </w:rPr>
      </w:pPr>
      <w:r>
        <w:rPr>
          <w:rFonts w:hint="eastAsia" w:ascii="Times New Roman" w:hAnsi="Times New Roman" w:eastAsia="宋体" w:cs="Times New Roman"/>
          <w:b w:val="0"/>
          <w:kern w:val="2"/>
          <w:sz w:val="28"/>
          <w:szCs w:val="24"/>
          <w:highlight w:val="none"/>
          <w:lang w:val="zh-CN" w:eastAsia="zh-CN" w:bidi="ar-SA"/>
        </w:rPr>
        <w:t>企业通过合理分配环保设备，优化环保措施，使污染物能够实现达标排放。</w:t>
      </w:r>
      <w:r>
        <w:rPr>
          <w:rFonts w:hint="eastAsia" w:ascii="Times New Roman" w:hAnsi="Times New Roman" w:eastAsia="宋体" w:cs="Times New Roman"/>
          <w:b w:val="0"/>
          <w:kern w:val="2"/>
          <w:sz w:val="28"/>
          <w:szCs w:val="24"/>
          <w:highlight w:val="none"/>
          <w:lang w:val="en-US" w:eastAsia="zh-CN" w:bidi="ar-SA"/>
        </w:rPr>
        <w:t>根据监测数据及企业实际采取的措施，污染物均得到合理的处置，无新增污染物产生，因此不属于重大变动。</w:t>
      </w:r>
    </w:p>
    <w:p>
      <w:pPr>
        <w:pStyle w:val="4"/>
        <w:bidi w:val="0"/>
        <w:ind w:firstLine="562" w:firstLineChars="200"/>
        <w:rPr>
          <w:rFonts w:hint="default"/>
          <w:b/>
          <w:bCs/>
          <w:sz w:val="28"/>
          <w:szCs w:val="28"/>
        </w:rPr>
      </w:pPr>
      <w:r>
        <w:rPr>
          <w:rFonts w:hint="default"/>
          <w:b/>
          <w:bCs/>
          <w:sz w:val="28"/>
          <w:szCs w:val="28"/>
          <w:lang w:eastAsia="zh-CN"/>
        </w:rPr>
        <w:t>三</w:t>
      </w:r>
      <w:r>
        <w:rPr>
          <w:rFonts w:hint="default"/>
          <w:b/>
          <w:bCs/>
          <w:sz w:val="28"/>
          <w:szCs w:val="28"/>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eastAsia="宋体" w:cs="Times New Roman"/>
          <w:b w:val="0"/>
          <w:bCs w:val="0"/>
          <w:color w:val="auto"/>
          <w:sz w:val="28"/>
          <w:szCs w:val="28"/>
          <w:highlight w:val="none"/>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b w:val="0"/>
          <w:kern w:val="2"/>
          <w:sz w:val="28"/>
          <w:szCs w:val="24"/>
          <w:highlight w:val="none"/>
          <w:lang w:val="en-US" w:eastAsia="zh-CN" w:bidi="ar-SA"/>
        </w:rPr>
      </w:pPr>
      <w:r>
        <w:rPr>
          <w:rFonts w:hint="eastAsia" w:ascii="Times New Roman" w:hAnsi="Times New Roman" w:eastAsia="宋体" w:cs="Times New Roman"/>
          <w:b w:val="0"/>
          <w:kern w:val="2"/>
          <w:sz w:val="28"/>
          <w:szCs w:val="24"/>
          <w:highlight w:val="none"/>
          <w:lang w:val="en-US" w:eastAsia="zh-CN" w:bidi="ar-SA"/>
        </w:rPr>
        <w:t>年产80万平方米铝合金门窗生产制造项目产生的废水主要为员工生活污水、无生产废水，生活污水经化粪池处理后通过污水管网排入卫辉中州水务有限公司东关污水处理厂进一步处理达标后排入东孟姜女河，属于间接排放。</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1、废水污染物产排情况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项目员工共计180人，其中80人在厂区内食宿，每天生产8小时，年工作300天，不在厂区食宿的员工，生活用水量按30L/人·d计算，在厂区食宿的员工，生活用水量按50L/人·d计算，则用水量为7t/d，污水排放系数以0.8计，则生活污水排放量为5.6t/d，即1680t/a，类比废水水质：COD350mg/L、SS300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-N25mg/L、TP3mg/L、TN30mg/L，经化粪池处理后的水质为COD250mg/L、SS180mg/L、NH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2、污水处理厂依托可行性分析</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位于卫辉市东部，东环路以东，东关村以北，收水范围为卫辉市城区生活水，采用CASS处理工艺，设计处理规模为5万m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/d，目前实际处理规模4万m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/d，剩余处理规模1万m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/d，本项目废水排放量为5.6m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/d，远小于1万m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/d。本项目位于新乡市卫辉市后河镇工业园区，在</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的收水范围内，项目生活污水经化粪池处理后水质为COD250mg/L、SS180mg/L、NH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-N25mg/L、TP3mg/L、TN30mg/L，能够满足</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的收水标准COD≤355mg/L、NH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-N≤35mg/L、SS≤230mg/L、TP≤3.5mg/L。</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lang w:val="en-US" w:eastAsia="zh-CN"/>
        </w:rPr>
      </w:pPr>
      <w:r>
        <w:rPr>
          <w:rFonts w:hint="eastAsia" w:ascii="Times New Roman" w:hAnsi="Times New Roman" w:eastAsia="宋体" w:cs="Times New Roman"/>
          <w:b w:val="0"/>
          <w:bCs w:val="0"/>
          <w:color w:val="auto"/>
          <w:kern w:val="2"/>
          <w:sz w:val="28"/>
          <w:szCs w:val="28"/>
          <w:highlight w:val="none"/>
          <w:lang w:val="en-US" w:eastAsia="zh-CN"/>
        </w:rPr>
        <w:t>扩建年产40万平方米铝合金门窗生产制造</w:t>
      </w:r>
      <w:r>
        <w:rPr>
          <w:rFonts w:hint="default" w:ascii="Times New Roman" w:hAnsi="Times New Roman" w:eastAsia="宋体" w:cs="Times New Roman"/>
          <w:b w:val="0"/>
          <w:bCs w:val="0"/>
          <w:color w:val="auto"/>
          <w:kern w:val="2"/>
          <w:sz w:val="28"/>
          <w:szCs w:val="28"/>
          <w:highlight w:val="none"/>
          <w:lang w:val="en-US" w:eastAsia="zh-CN"/>
        </w:rPr>
        <w:t>项</w:t>
      </w:r>
      <w:r>
        <w:rPr>
          <w:rFonts w:hint="eastAsia" w:ascii="Times New Roman" w:hAnsi="Times New Roman" w:eastAsia="宋体" w:cs="Times New Roman"/>
          <w:b w:val="0"/>
          <w:bCs w:val="0"/>
          <w:color w:val="auto"/>
          <w:kern w:val="2"/>
          <w:sz w:val="28"/>
          <w:szCs w:val="28"/>
          <w:highlight w:val="none"/>
          <w:lang w:val="en-US" w:eastAsia="zh-CN"/>
        </w:rPr>
        <w:t>目无生产废水产生；废水主要为生活污水，本项目利用原有劳动定员不新增生活污水。</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eastAsia="宋体" w:cs="Times New Roman"/>
          <w:b w:val="0"/>
          <w:bCs w:val="0"/>
          <w:color w:val="auto"/>
          <w:sz w:val="28"/>
          <w:szCs w:val="28"/>
          <w:highlight w:val="none"/>
          <w:lang w:val="en-US" w:eastAsia="zh-CN"/>
        </w:rPr>
        <w:t>废气</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default" w:ascii="Times New Roman" w:hAnsi="Times New Roman" w:eastAsia="宋体" w:cs="Times New Roman"/>
          <w:color w:val="auto"/>
          <w:sz w:val="28"/>
          <w:szCs w:val="28"/>
          <w:highlight w:val="none"/>
        </w:rPr>
        <w:t>本项目生产工艺及原材料不涉及废气产生</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FF0000"/>
          <w:sz w:val="28"/>
          <w:szCs w:val="28"/>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eastAsia="宋体" w:cs="Times New Roman"/>
          <w:b w:val="0"/>
          <w:bCs w:val="0"/>
          <w:color w:val="auto"/>
          <w:sz w:val="28"/>
          <w:szCs w:val="28"/>
          <w:highlight w:val="no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该项目生产过程中产生的噪声主要</w:t>
      </w:r>
      <w:r>
        <w:rPr>
          <w:rFonts w:hint="eastAsia" w:ascii="Times New Roman" w:hAnsi="Times New Roman" w:eastAsia="宋体" w:cs="Times New Roman"/>
          <w:color w:val="auto"/>
          <w:sz w:val="28"/>
          <w:szCs w:val="28"/>
          <w:highlight w:val="none"/>
          <w:lang w:eastAsia="zh-CN"/>
        </w:rPr>
        <w:t>机械设备运行噪声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项目选用低噪声设备，采用加大减震基础，安装减震装置。合理安排作业时间，合理布局，采用封闭式生产车间，使用隔声墙体，厂内设置绿化带隔声。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eastAsia="宋体" w:cs="Times New Roman"/>
          <w:b w:val="0"/>
          <w:bCs w:val="0"/>
          <w:color w:val="auto"/>
          <w:sz w:val="28"/>
          <w:szCs w:val="28"/>
          <w:highlight w:val="none"/>
          <w:lang w:val="en-US" w:eastAsia="zh-CN"/>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sz w:val="28"/>
          <w:szCs w:val="28"/>
          <w:highlight w:val="none"/>
          <w:lang w:val="en-US" w:eastAsia="zh-CN"/>
        </w:rPr>
        <w:t>年产80万平方米铝合金门窗生产制造项目</w:t>
      </w:r>
      <w:r>
        <w:rPr>
          <w:rFonts w:hint="eastAsia" w:ascii="Times New Roman" w:hAnsi="Times New Roman" w:eastAsia="宋体" w:cs="Times New Roman"/>
          <w:color w:val="auto"/>
          <w:sz w:val="28"/>
          <w:szCs w:val="28"/>
          <w:highlight w:val="none"/>
          <w:lang w:eastAsia="zh-CN"/>
        </w:rPr>
        <w:t>固废主要为</w:t>
      </w:r>
      <w:r>
        <w:rPr>
          <w:rFonts w:hint="default" w:ascii="Times New Roman" w:hAnsi="Times New Roman" w:eastAsia="宋体" w:cs="Times New Roman"/>
          <w:color w:val="auto"/>
          <w:sz w:val="28"/>
          <w:szCs w:val="28"/>
          <w:highlight w:val="none"/>
          <w:lang w:eastAsia="zh-CN"/>
        </w:rPr>
        <w:t>开料、</w:t>
      </w:r>
      <w:r>
        <w:rPr>
          <w:rFonts w:hint="eastAsia" w:ascii="Times New Roman" w:hAnsi="Times New Roman" w:eastAsia="宋体" w:cs="Times New Roman"/>
          <w:color w:val="auto"/>
          <w:sz w:val="28"/>
          <w:szCs w:val="28"/>
          <w:highlight w:val="none"/>
          <w:lang w:eastAsia="zh-CN"/>
        </w:rPr>
        <w:t>开角码、冲孔、锣榫、铣锁孔工艺产生的边角料和金属屑、包装过程产生的废包装物和生产过程中的含油废抹布。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扩建年产40万平方米铝合金门窗生产制造</w:t>
      </w:r>
      <w:r>
        <w:rPr>
          <w:rFonts w:hint="default" w:ascii="Times New Roman" w:hAnsi="Times New Roman" w:eastAsia="宋体" w:cs="Times New Roman"/>
          <w:sz w:val="28"/>
          <w:szCs w:val="28"/>
          <w:highlight w:val="none"/>
        </w:rPr>
        <w:t>项</w:t>
      </w:r>
      <w:r>
        <w:rPr>
          <w:rFonts w:hint="eastAsia" w:ascii="Times New Roman" w:hAnsi="Times New Roman" w:eastAsia="宋体" w:cs="Times New Roman"/>
          <w:sz w:val="28"/>
          <w:szCs w:val="24"/>
          <w:highlight w:val="none"/>
          <w:lang w:val="en-US" w:eastAsia="zh-CN"/>
        </w:rPr>
        <w:t>目</w:t>
      </w:r>
      <w:r>
        <w:rPr>
          <w:rFonts w:hint="eastAsia" w:ascii="Times New Roman" w:hAnsi="Times New Roman" w:eastAsia="宋体" w:cs="Times New Roman"/>
          <w:sz w:val="28"/>
          <w:szCs w:val="28"/>
          <w:highlight w:val="none"/>
          <w:lang w:val="en-US" w:eastAsia="zh-CN"/>
        </w:rPr>
        <w:t>固体废物包括一般固体废物和危险废物。一般固体废物包括开料、开角码、冲孔、锣榫、铣锁孔工艺产生的边角料和金属屑、包装过程产生的废包装物；危险废物主要包括设备维护过程和冲孔过程中产生的含油废抹布。产生的废弃物均在厂区暂存。本项目不涉及新增劳动定员不涉及生活垃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sz w:val="28"/>
          <w:szCs w:val="28"/>
          <w:highlight w:val="none"/>
          <w:lang w:val="en-US" w:eastAsia="zh-CN"/>
        </w:rPr>
        <w:t>边角料、金属屑和包装过程产生的废包装物</w:t>
      </w:r>
      <w:r>
        <w:rPr>
          <w:rFonts w:hint="default" w:ascii="Times New Roman" w:hAnsi="Times New Roman" w:eastAsia="宋体" w:cs="Times New Roman"/>
          <w:sz w:val="28"/>
          <w:szCs w:val="28"/>
          <w:highlight w:val="none"/>
          <w:lang w:val="en-US" w:eastAsia="zh-CN"/>
        </w:rPr>
        <w:t>收集后外售；含油废抹布危废间暂存后，混入生活垃圾中，运至垃圾中转站集中处理。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（一）污染物达标排放情况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z w:val="28"/>
          <w:szCs w:val="28"/>
          <w:highlight w:val="none"/>
          <w:lang w:val="en-US" w:eastAsia="zh-CN"/>
        </w:rPr>
      </w:pPr>
      <w:bookmarkStart w:id="3" w:name="_Hlk496998889"/>
      <w:r>
        <w:rPr>
          <w:rFonts w:hint="eastAsia" w:ascii="Times New Roman" w:hAnsi="Times New Roman" w:eastAsia="宋体" w:cs="Times New Roman"/>
          <w:sz w:val="28"/>
          <w:szCs w:val="28"/>
          <w:highlight w:val="none"/>
          <w:lang w:val="en-US" w:eastAsia="zh-CN"/>
        </w:rPr>
        <w:t>本项目不涉及废气。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lang w:val="en-US" w:eastAsia="zh-CN"/>
        </w:rPr>
        <w:t>废水</w:t>
      </w:r>
    </w:p>
    <w:bookmarkEnd w:id="3"/>
    <w:p>
      <w:pPr>
        <w:ind w:firstLine="560" w:firstLineChars="200"/>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sz w:val="28"/>
          <w:szCs w:val="28"/>
          <w:highlight w:val="none"/>
          <w:lang w:val="en-US" w:eastAsia="zh-CN"/>
        </w:rPr>
        <w:t>年产80万平方米铝合金门窗生产制造项目</w:t>
      </w:r>
      <w:r>
        <w:rPr>
          <w:rFonts w:hint="eastAsia" w:ascii="Times New Roman" w:hAnsi="Times New Roman" w:eastAsia="宋体" w:cs="Times New Roman"/>
          <w:b w:val="0"/>
          <w:bCs w:val="0"/>
          <w:color w:val="auto"/>
          <w:kern w:val="2"/>
          <w:sz w:val="28"/>
          <w:szCs w:val="28"/>
          <w:highlight w:val="none"/>
        </w:rPr>
        <w:t>产生的废水主要为员工生活污水、无生产废水，生活污水经化粪池处理后通过污水管网排入</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进一步处理达标后排入东孟姜女河，属于间接排放。</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1、废水污染物产排情况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项目员工共计180人，其中80人在厂区内食宿，每天生产8小时，年工作300天，不在厂区食宿的员工，生活用水量按30L/人·d计算，在厂区食宿的员工，生活用水量按50L/人·d计算，则用水量为7t/d，污水排放系数以0.8计，则生活污水排放量为5.6t/d，即1680t/a，类比废水水质：COD350mg/L、SS300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-N25mg/L、TP3mg/L、TN30mg/L，经化粪池处理后的水质为COD250mg/L、SS180mg/L、NH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2、污水处理厂依托可行性分析</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位于卫辉市东部，东环路以东，东关村以北，收水范围为卫辉市城区生活水，采用CASS处理工艺，设计处理规模为5万m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/d，目前实际处理规模4万m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/d，剩余处理规模1万m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/d，本项目废水排放量为5.6m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/d，远小于1万m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/d。本项目位于新乡市卫辉市后河镇工业园区，在</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的收水范围内，项目生活污水经化粪池处理后水质为COD250mg/L、SS180mg/L、NH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-N25mg/L、TP3mg/L、TN30mg/L，能够满足</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rPr>
        <w:t>的收水标准COD≤355mg/L、NH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-N≤35mg/L、SS≤230mg/L、TP≤3.5mg/L。</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lang w:val="en-US" w:eastAsia="zh-CN"/>
        </w:rPr>
      </w:pPr>
      <w:r>
        <w:rPr>
          <w:rFonts w:hint="eastAsia" w:ascii="Times New Roman" w:hAnsi="Times New Roman" w:eastAsia="宋体" w:cs="Times New Roman"/>
          <w:b w:val="0"/>
          <w:bCs w:val="0"/>
          <w:color w:val="auto"/>
          <w:kern w:val="2"/>
          <w:sz w:val="28"/>
          <w:szCs w:val="28"/>
          <w:highlight w:val="none"/>
          <w:lang w:val="en-US" w:eastAsia="zh-CN"/>
        </w:rPr>
        <w:t>扩建年产40万平方米铝合金门窗生产制造</w:t>
      </w:r>
      <w:r>
        <w:rPr>
          <w:rFonts w:hint="default" w:ascii="Times New Roman" w:hAnsi="Times New Roman" w:eastAsia="宋体" w:cs="Times New Roman"/>
          <w:b w:val="0"/>
          <w:bCs w:val="0"/>
          <w:color w:val="auto"/>
          <w:kern w:val="2"/>
          <w:sz w:val="28"/>
          <w:szCs w:val="28"/>
          <w:highlight w:val="none"/>
          <w:lang w:val="en-US" w:eastAsia="zh-CN"/>
        </w:rPr>
        <w:t>项</w:t>
      </w:r>
      <w:r>
        <w:rPr>
          <w:rFonts w:hint="eastAsia" w:ascii="Times New Roman" w:hAnsi="Times New Roman" w:eastAsia="宋体" w:cs="Times New Roman"/>
          <w:b w:val="0"/>
          <w:bCs w:val="0"/>
          <w:color w:val="auto"/>
          <w:kern w:val="2"/>
          <w:sz w:val="28"/>
          <w:szCs w:val="28"/>
          <w:highlight w:val="none"/>
          <w:lang w:val="en-US" w:eastAsia="zh-CN"/>
        </w:rPr>
        <w:t>目无生产废水产生；废水主要为生活污水，本项目利用原有劳动定员不新增生活污水。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企业</w:t>
      </w:r>
      <w:r>
        <w:rPr>
          <w:rFonts w:hint="eastAsia" w:ascii="Times New Roman" w:hAnsi="Times New Roman" w:eastAsia="宋体" w:cs="Times New Roman"/>
          <w:sz w:val="28"/>
          <w:szCs w:val="28"/>
          <w:highlight w:val="none"/>
          <w:lang w:val="en-US" w:eastAsia="zh-CN"/>
        </w:rPr>
        <w:t>南</w:t>
      </w:r>
      <w:r>
        <w:rPr>
          <w:rFonts w:hint="default" w:ascii="Times New Roman" w:hAnsi="Times New Roman" w:eastAsia="宋体" w:cs="Times New Roman"/>
          <w:sz w:val="28"/>
          <w:szCs w:val="28"/>
          <w:highlight w:val="none"/>
          <w:lang w:val="en-US" w:eastAsia="zh-CN"/>
        </w:rPr>
        <w:t>厂界昼间噪声值范围为5</w:t>
      </w:r>
      <w:r>
        <w:rPr>
          <w:rFonts w:hint="eastAsia"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val="en-US" w:eastAsia="zh-CN"/>
        </w:rPr>
        <w:t>60</w:t>
      </w:r>
      <w:r>
        <w:rPr>
          <w:rFonts w:hint="default" w:ascii="Times New Roman" w:hAnsi="Times New Roman" w:eastAsia="宋体" w:cs="Times New Roman"/>
          <w:sz w:val="28"/>
          <w:szCs w:val="28"/>
          <w:highlight w:val="none"/>
          <w:lang w:val="en-US" w:eastAsia="zh-CN"/>
        </w:rPr>
        <w:t>dB(A)，夜间噪声值范围为4</w:t>
      </w:r>
      <w:r>
        <w:rPr>
          <w:rFonts w:hint="eastAsia" w:ascii="Times New Roman" w:hAnsi="Times New Roman" w:eastAsia="宋体" w:cs="Times New Roman"/>
          <w:sz w:val="28"/>
          <w:szCs w:val="28"/>
          <w:highlight w:val="none"/>
          <w:lang w:val="en-US" w:eastAsia="zh-CN"/>
        </w:rPr>
        <w:t>0</w:t>
      </w:r>
      <w:r>
        <w:rPr>
          <w:rFonts w:hint="default" w:ascii="Times New Roman" w:hAnsi="Times New Roman" w:eastAsia="宋体" w:cs="Times New Roman"/>
          <w:sz w:val="28"/>
          <w:szCs w:val="28"/>
          <w:highlight w:val="none"/>
          <w:lang w:val="en-US" w:eastAsia="zh-CN"/>
        </w:rPr>
        <w:t>～4</w:t>
      </w:r>
      <w:r>
        <w:rPr>
          <w:rFonts w:hint="eastAsia"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lang w:val="en-US" w:eastAsia="zh-CN"/>
        </w:rPr>
        <w:t>dB(A)</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企业</w:t>
      </w:r>
      <w:r>
        <w:rPr>
          <w:rFonts w:hint="eastAsia" w:ascii="Times New Roman" w:hAnsi="Times New Roman" w:eastAsia="宋体" w:cs="Times New Roman"/>
          <w:sz w:val="28"/>
          <w:szCs w:val="28"/>
          <w:highlight w:val="none"/>
          <w:lang w:val="en-US" w:eastAsia="zh-CN"/>
        </w:rPr>
        <w:t>北</w:t>
      </w:r>
      <w:r>
        <w:rPr>
          <w:rFonts w:hint="default" w:ascii="Times New Roman" w:hAnsi="Times New Roman" w:eastAsia="宋体" w:cs="Times New Roman"/>
          <w:sz w:val="28"/>
          <w:szCs w:val="28"/>
          <w:highlight w:val="none"/>
          <w:lang w:val="en-US" w:eastAsia="zh-CN"/>
        </w:rPr>
        <w:t>厂界昼间噪声值范围为5</w:t>
      </w:r>
      <w:r>
        <w:rPr>
          <w:rFonts w:hint="eastAsia" w:ascii="Times New Roman" w:hAnsi="Times New Roman" w:eastAsia="宋体" w:cs="Times New Roman"/>
          <w:sz w:val="28"/>
          <w:szCs w:val="28"/>
          <w:highlight w:val="none"/>
          <w:lang w:val="en-US" w:eastAsia="zh-CN"/>
        </w:rPr>
        <w:t>0</w:t>
      </w: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val="en-US" w:eastAsia="zh-CN"/>
        </w:rPr>
        <w:t>59</w:t>
      </w:r>
      <w:r>
        <w:rPr>
          <w:rFonts w:hint="default" w:ascii="Times New Roman" w:hAnsi="Times New Roman" w:eastAsia="宋体" w:cs="Times New Roman"/>
          <w:sz w:val="28"/>
          <w:szCs w:val="28"/>
          <w:highlight w:val="none"/>
          <w:lang w:val="en-US" w:eastAsia="zh-CN"/>
        </w:rPr>
        <w:t>dB(A)，夜间噪声值范围为4</w:t>
      </w:r>
      <w:r>
        <w:rPr>
          <w:rFonts w:hint="eastAsia" w:ascii="Times New Roman" w:hAnsi="Times New Roman" w:eastAsia="宋体" w:cs="Times New Roman"/>
          <w:sz w:val="28"/>
          <w:szCs w:val="28"/>
          <w:highlight w:val="none"/>
          <w:lang w:val="en-US" w:eastAsia="zh-CN"/>
        </w:rPr>
        <w:t>0</w:t>
      </w:r>
      <w:r>
        <w:rPr>
          <w:rFonts w:hint="default" w:ascii="Times New Roman" w:hAnsi="Times New Roman" w:eastAsia="宋体" w:cs="Times New Roman"/>
          <w:sz w:val="28"/>
          <w:szCs w:val="28"/>
          <w:highlight w:val="none"/>
          <w:lang w:val="en-US" w:eastAsia="zh-CN"/>
        </w:rPr>
        <w:t>～4</w:t>
      </w:r>
      <w:r>
        <w:rPr>
          <w:rFonts w:hint="eastAsia"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lang w:val="en-US" w:eastAsia="zh-CN"/>
        </w:rPr>
        <w:t>dB(A)</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经监测结果可知</w:t>
      </w:r>
      <w:r>
        <w:rPr>
          <w:rFonts w:hint="eastAsia"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CN"/>
        </w:rPr>
        <w:t>厂界噪声能够满足《工业企业厂界环境噪声排放标准》（GB12348-2008）</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lang w:val="en-US" w:eastAsia="zh-CN"/>
        </w:rPr>
        <w:t>类（昼间6</w:t>
      </w:r>
      <w:r>
        <w:rPr>
          <w:rFonts w:hint="eastAsia" w:ascii="Times New Roman" w:hAnsi="Times New Roman" w:eastAsia="宋体" w:cs="Times New Roman"/>
          <w:sz w:val="28"/>
          <w:szCs w:val="28"/>
          <w:highlight w:val="none"/>
          <w:lang w:val="en-US" w:eastAsia="zh-CN"/>
        </w:rPr>
        <w:t>5</w:t>
      </w:r>
      <w:r>
        <w:rPr>
          <w:rFonts w:hint="default" w:ascii="Times New Roman" w:hAnsi="Times New Roman" w:eastAsia="宋体" w:cs="Times New Roman"/>
          <w:sz w:val="28"/>
          <w:szCs w:val="28"/>
          <w:highlight w:val="none"/>
          <w:lang w:val="en-US" w:eastAsia="zh-CN"/>
        </w:rPr>
        <w:t>dB（A）、夜间5</w:t>
      </w:r>
      <w:r>
        <w:rPr>
          <w:rFonts w:hint="eastAsia" w:ascii="Times New Roman" w:hAnsi="Times New Roman" w:eastAsia="宋体" w:cs="Times New Roman"/>
          <w:sz w:val="28"/>
          <w:szCs w:val="28"/>
          <w:highlight w:val="none"/>
          <w:lang w:val="en-US" w:eastAsia="zh-CN"/>
        </w:rPr>
        <w:t>5</w:t>
      </w:r>
      <w:r>
        <w:rPr>
          <w:rFonts w:hint="default" w:ascii="Times New Roman" w:hAnsi="Times New Roman" w:eastAsia="宋体" w:cs="Times New Roman"/>
          <w:sz w:val="28"/>
          <w:szCs w:val="28"/>
          <w:highlight w:val="none"/>
          <w:lang w:val="en-US" w:eastAsia="zh-CN"/>
        </w:rPr>
        <w:t>dB（A））标准要求。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年产80万平方米铝合金门窗生产制造项目固废主要为</w:t>
      </w:r>
      <w:r>
        <w:rPr>
          <w:rFonts w:hint="default" w:ascii="Times New Roman" w:hAnsi="Times New Roman" w:eastAsia="宋体" w:cs="Times New Roman"/>
          <w:sz w:val="28"/>
          <w:szCs w:val="28"/>
          <w:highlight w:val="none"/>
          <w:lang w:val="en-US" w:eastAsia="zh-CN"/>
        </w:rPr>
        <w:t>开料、</w:t>
      </w:r>
      <w:r>
        <w:rPr>
          <w:rFonts w:hint="eastAsia" w:ascii="Times New Roman" w:hAnsi="Times New Roman" w:eastAsia="宋体" w:cs="Times New Roman"/>
          <w:sz w:val="28"/>
          <w:szCs w:val="28"/>
          <w:highlight w:val="none"/>
          <w:lang w:val="en-US" w:eastAsia="zh-CN"/>
        </w:rPr>
        <w:t>开角码、冲孔、锣榫、铣锁孔工艺产生的边角料和金属屑、包装过程产生的废包装物和生产过程中的含油废抹布。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扩建年产40万平方米铝合金门窗生产制造</w:t>
      </w:r>
      <w:r>
        <w:rPr>
          <w:rFonts w:hint="default" w:ascii="Times New Roman" w:hAnsi="Times New Roman" w:eastAsia="宋体" w:cs="Times New Roman"/>
          <w:sz w:val="28"/>
          <w:szCs w:val="28"/>
          <w:highlight w:val="none"/>
          <w:lang w:val="en-US" w:eastAsia="zh-CN"/>
        </w:rPr>
        <w:t>项</w:t>
      </w:r>
      <w:r>
        <w:rPr>
          <w:rFonts w:hint="eastAsia" w:ascii="Times New Roman" w:hAnsi="Times New Roman" w:eastAsia="宋体" w:cs="Times New Roman"/>
          <w:sz w:val="28"/>
          <w:szCs w:val="28"/>
          <w:highlight w:val="none"/>
          <w:lang w:val="en-US" w:eastAsia="zh-CN"/>
        </w:rPr>
        <w:t>目固体废物包括一般固体废物和危险废物。一般固体废物包括开料、开角码、冲孔、锣榫、铣锁孔工艺产生的边角料和金属屑、包装过程产生的废包装物；危险废物主要包括设备维护过程和冲孔过程中产生的含油废抹布。产生的废弃物均在厂区暂存。本项目不涉及新增劳动定员不涉及生活垃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边角料、金属屑和包装过程产生的废包装物</w:t>
      </w:r>
      <w:r>
        <w:rPr>
          <w:rFonts w:hint="default" w:ascii="Times New Roman" w:hAnsi="Times New Roman" w:eastAsia="宋体" w:cs="Times New Roman"/>
          <w:sz w:val="28"/>
          <w:szCs w:val="28"/>
          <w:highlight w:val="none"/>
          <w:lang w:val="en-US" w:eastAsia="zh-CN"/>
        </w:rPr>
        <w:t>收集后外售；含油废抹布危废间暂存后，混入生活垃圾中，运至垃圾中转站集中处理。</w:t>
      </w:r>
    </w:p>
    <w:p>
      <w:pPr>
        <w:pStyle w:val="2"/>
        <w:keepNext w:val="0"/>
        <w:keepLines w:val="0"/>
        <w:pageBreakBefore w:val="0"/>
        <w:widowControl w:val="0"/>
        <w:kinsoku/>
        <w:wordWrap/>
        <w:overflowPunct/>
        <w:topLinePunct w:val="0"/>
        <w:autoSpaceDE/>
        <w:autoSpaceDN/>
        <w:bidi w:val="0"/>
        <w:adjustRightInd/>
        <w:snapToGrid/>
        <w:spacing w:line="480" w:lineRule="atLeast"/>
        <w:ind w:firstLine="562" w:firstLineChars="200"/>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pStyle w:val="2"/>
        <w:bidi w:val="0"/>
        <w:ind w:firstLine="602" w:firstLineChars="200"/>
        <w:rPr>
          <w:rFonts w:hint="default"/>
        </w:rPr>
      </w:pPr>
      <w:r>
        <w:rPr>
          <w:rFonts w:hint="default"/>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河南住方科技有限公司年产80万平方米铝合金门窗生产制造项目、扩建年产40万平方米铝合金门窗生产制造项目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河南住方科技有限公司年产80万平方米铝合金门窗生产制造项目、扩建年产40万平方米铝合金门窗生产制造项目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w:t>
      </w:r>
      <w:r>
        <w:rPr>
          <w:rFonts w:hint="eastAsia" w:ascii="Times New Roman" w:hAnsi="Times New Roman" w:eastAsia="宋体" w:cs="Times New Roman"/>
          <w:sz w:val="28"/>
          <w:szCs w:val="28"/>
          <w:lang w:val="en-US" w:eastAsia="zh-CN"/>
        </w:rPr>
        <w:t>本</w:t>
      </w:r>
      <w:r>
        <w:rPr>
          <w:rFonts w:hint="default" w:ascii="Times New Roman" w:hAnsi="Times New Roman" w:eastAsia="宋体" w:cs="Times New Roman"/>
          <w:sz w:val="28"/>
          <w:szCs w:val="28"/>
          <w:lang w:val="en-US" w:eastAsia="zh-CN"/>
        </w:rPr>
        <w:t>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河南住方科技有限公司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4" w:name="_GoBack"/>
      <w:r>
        <w:rPr>
          <w:rFonts w:hint="eastAsia"/>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7559040" cy="10692130"/>
            <wp:effectExtent l="0" t="0" r="3810" b="13970"/>
            <wp:wrapSquare wrapText="bothSides"/>
            <wp:docPr id="1" name="图片 1" descr="住方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方签名表"/>
                    <pic:cNvPicPr>
                      <a:picLocks noChangeAspect="1"/>
                    </pic:cNvPicPr>
                  </pic:nvPicPr>
                  <pic:blipFill>
                    <a:blip r:embed="rId6"/>
                    <a:stretch>
                      <a:fillRect/>
                    </a:stretch>
                  </pic:blipFill>
                  <pic:spPr>
                    <a:xfrm>
                      <a:off x="0" y="0"/>
                      <a:ext cx="7559040" cy="10692130"/>
                    </a:xfrm>
                    <a:prstGeom prst="rect">
                      <a:avLst/>
                    </a:prstGeom>
                  </pic:spPr>
                </pic:pic>
              </a:graphicData>
            </a:graphic>
          </wp:anchor>
        </w:drawing>
      </w:r>
      <w:bookmarkEnd w:id="4"/>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11"/>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21A1F3C"/>
    <w:rsid w:val="03D34DBA"/>
    <w:rsid w:val="03F24B44"/>
    <w:rsid w:val="048C24BC"/>
    <w:rsid w:val="054C13B5"/>
    <w:rsid w:val="06C35622"/>
    <w:rsid w:val="06CE4E29"/>
    <w:rsid w:val="06F64ACD"/>
    <w:rsid w:val="077F4CF6"/>
    <w:rsid w:val="07971903"/>
    <w:rsid w:val="08042931"/>
    <w:rsid w:val="096C4016"/>
    <w:rsid w:val="09855241"/>
    <w:rsid w:val="09F45F83"/>
    <w:rsid w:val="09FA07D4"/>
    <w:rsid w:val="0C102388"/>
    <w:rsid w:val="0C1A429C"/>
    <w:rsid w:val="0C2B432C"/>
    <w:rsid w:val="0C4734F9"/>
    <w:rsid w:val="0C4A2FE4"/>
    <w:rsid w:val="0C67747D"/>
    <w:rsid w:val="0CEB1270"/>
    <w:rsid w:val="0CED43C7"/>
    <w:rsid w:val="0DB6663D"/>
    <w:rsid w:val="0E2A6620"/>
    <w:rsid w:val="0EB43C2E"/>
    <w:rsid w:val="0ECC7CCA"/>
    <w:rsid w:val="0ED46692"/>
    <w:rsid w:val="0F623843"/>
    <w:rsid w:val="0FAA355C"/>
    <w:rsid w:val="10B67BC6"/>
    <w:rsid w:val="10C74B8E"/>
    <w:rsid w:val="10E20E9A"/>
    <w:rsid w:val="11693271"/>
    <w:rsid w:val="11BF6705"/>
    <w:rsid w:val="1233585A"/>
    <w:rsid w:val="127308C2"/>
    <w:rsid w:val="137726C8"/>
    <w:rsid w:val="13AD76F9"/>
    <w:rsid w:val="15053F2B"/>
    <w:rsid w:val="15451814"/>
    <w:rsid w:val="15AF55D0"/>
    <w:rsid w:val="15DB6B8C"/>
    <w:rsid w:val="162E7BB6"/>
    <w:rsid w:val="17A57608"/>
    <w:rsid w:val="184D178B"/>
    <w:rsid w:val="187A2650"/>
    <w:rsid w:val="18B02EC0"/>
    <w:rsid w:val="190308C6"/>
    <w:rsid w:val="1904067D"/>
    <w:rsid w:val="19203B62"/>
    <w:rsid w:val="19AB7D41"/>
    <w:rsid w:val="1A015655"/>
    <w:rsid w:val="1A4074D7"/>
    <w:rsid w:val="1A576DBC"/>
    <w:rsid w:val="1B2B425F"/>
    <w:rsid w:val="1B8E2DA2"/>
    <w:rsid w:val="1C5961F4"/>
    <w:rsid w:val="1D427983"/>
    <w:rsid w:val="1D6D442F"/>
    <w:rsid w:val="1EB64F8A"/>
    <w:rsid w:val="1F0D6682"/>
    <w:rsid w:val="1F7B5331"/>
    <w:rsid w:val="20BD76D2"/>
    <w:rsid w:val="21563681"/>
    <w:rsid w:val="21983303"/>
    <w:rsid w:val="21EC67D3"/>
    <w:rsid w:val="22597796"/>
    <w:rsid w:val="22862782"/>
    <w:rsid w:val="22A1271B"/>
    <w:rsid w:val="22E47FD9"/>
    <w:rsid w:val="234F711D"/>
    <w:rsid w:val="2458052C"/>
    <w:rsid w:val="2591314D"/>
    <w:rsid w:val="25C1541B"/>
    <w:rsid w:val="263A64E3"/>
    <w:rsid w:val="26DE4CF9"/>
    <w:rsid w:val="26F569DD"/>
    <w:rsid w:val="27420E9E"/>
    <w:rsid w:val="274436A1"/>
    <w:rsid w:val="27542DD3"/>
    <w:rsid w:val="276B5C2B"/>
    <w:rsid w:val="27CD5B35"/>
    <w:rsid w:val="27F24B31"/>
    <w:rsid w:val="294744C3"/>
    <w:rsid w:val="2A824112"/>
    <w:rsid w:val="2ADE5063"/>
    <w:rsid w:val="2BA24FA7"/>
    <w:rsid w:val="2C8B39AE"/>
    <w:rsid w:val="2C943202"/>
    <w:rsid w:val="2D250C18"/>
    <w:rsid w:val="2DC124DB"/>
    <w:rsid w:val="2E800DD9"/>
    <w:rsid w:val="2EC83D55"/>
    <w:rsid w:val="2F4908CC"/>
    <w:rsid w:val="2FCD6924"/>
    <w:rsid w:val="301B6DA0"/>
    <w:rsid w:val="30DE740B"/>
    <w:rsid w:val="31372D62"/>
    <w:rsid w:val="318C3C4C"/>
    <w:rsid w:val="31F17081"/>
    <w:rsid w:val="31F83A06"/>
    <w:rsid w:val="31FA182C"/>
    <w:rsid w:val="329E0724"/>
    <w:rsid w:val="32CE6DC9"/>
    <w:rsid w:val="32D90AD2"/>
    <w:rsid w:val="33137D51"/>
    <w:rsid w:val="33754BED"/>
    <w:rsid w:val="342E24ED"/>
    <w:rsid w:val="34D10E5D"/>
    <w:rsid w:val="36685B3D"/>
    <w:rsid w:val="367B51C9"/>
    <w:rsid w:val="36C033A8"/>
    <w:rsid w:val="36C86E54"/>
    <w:rsid w:val="38FB7B6F"/>
    <w:rsid w:val="39300A2C"/>
    <w:rsid w:val="39966137"/>
    <w:rsid w:val="39F12DF0"/>
    <w:rsid w:val="3ACD708D"/>
    <w:rsid w:val="3C6346F1"/>
    <w:rsid w:val="3D995CBF"/>
    <w:rsid w:val="3DDF0E0A"/>
    <w:rsid w:val="3E7B56BC"/>
    <w:rsid w:val="3E7E2DA6"/>
    <w:rsid w:val="3ECA22D5"/>
    <w:rsid w:val="3F22329C"/>
    <w:rsid w:val="3FAE5247"/>
    <w:rsid w:val="3FB91C08"/>
    <w:rsid w:val="402D0519"/>
    <w:rsid w:val="402E2D47"/>
    <w:rsid w:val="40BF0145"/>
    <w:rsid w:val="42257AC0"/>
    <w:rsid w:val="441935D3"/>
    <w:rsid w:val="446A5C09"/>
    <w:rsid w:val="45856105"/>
    <w:rsid w:val="45D03C25"/>
    <w:rsid w:val="46854AFE"/>
    <w:rsid w:val="46ED2639"/>
    <w:rsid w:val="476C64A6"/>
    <w:rsid w:val="47B37DB2"/>
    <w:rsid w:val="48814D24"/>
    <w:rsid w:val="497601AE"/>
    <w:rsid w:val="4A5B1D8C"/>
    <w:rsid w:val="4AD82C9E"/>
    <w:rsid w:val="4ADF0F76"/>
    <w:rsid w:val="4B226FBB"/>
    <w:rsid w:val="4B9E6B8B"/>
    <w:rsid w:val="4BCB2BE4"/>
    <w:rsid w:val="4BF720C6"/>
    <w:rsid w:val="4C1E5E17"/>
    <w:rsid w:val="4CBD201E"/>
    <w:rsid w:val="4D0F79D1"/>
    <w:rsid w:val="4D350EB8"/>
    <w:rsid w:val="4DE8333F"/>
    <w:rsid w:val="4E704596"/>
    <w:rsid w:val="4E956B97"/>
    <w:rsid w:val="4EBF3AF3"/>
    <w:rsid w:val="4ECE3543"/>
    <w:rsid w:val="4EFD1E1D"/>
    <w:rsid w:val="4F2D71A2"/>
    <w:rsid w:val="4F4B5123"/>
    <w:rsid w:val="4F595D33"/>
    <w:rsid w:val="502F09EC"/>
    <w:rsid w:val="506F43C1"/>
    <w:rsid w:val="508A07B1"/>
    <w:rsid w:val="50DF5EC5"/>
    <w:rsid w:val="50EC4B87"/>
    <w:rsid w:val="51227D2C"/>
    <w:rsid w:val="520750EA"/>
    <w:rsid w:val="52505BD7"/>
    <w:rsid w:val="526B07AB"/>
    <w:rsid w:val="535368BD"/>
    <w:rsid w:val="53963527"/>
    <w:rsid w:val="53BD4558"/>
    <w:rsid w:val="55B95008"/>
    <w:rsid w:val="55D0096C"/>
    <w:rsid w:val="56154794"/>
    <w:rsid w:val="564D0CC8"/>
    <w:rsid w:val="56741772"/>
    <w:rsid w:val="56F1013B"/>
    <w:rsid w:val="58137CD3"/>
    <w:rsid w:val="58594674"/>
    <w:rsid w:val="58C30377"/>
    <w:rsid w:val="58FB5C3F"/>
    <w:rsid w:val="592523CD"/>
    <w:rsid w:val="59722ED3"/>
    <w:rsid w:val="5A457013"/>
    <w:rsid w:val="5A72692E"/>
    <w:rsid w:val="5B320B88"/>
    <w:rsid w:val="5B587280"/>
    <w:rsid w:val="5BA22C61"/>
    <w:rsid w:val="5BE36F70"/>
    <w:rsid w:val="5C105D10"/>
    <w:rsid w:val="5C705EEE"/>
    <w:rsid w:val="5D6604BD"/>
    <w:rsid w:val="5DA830FB"/>
    <w:rsid w:val="5DD438F4"/>
    <w:rsid w:val="5E9A05FF"/>
    <w:rsid w:val="5EC24B73"/>
    <w:rsid w:val="5F2F1F13"/>
    <w:rsid w:val="5FFA25A2"/>
    <w:rsid w:val="60EA5F68"/>
    <w:rsid w:val="61484DFB"/>
    <w:rsid w:val="61EC22D7"/>
    <w:rsid w:val="62271CA3"/>
    <w:rsid w:val="62A01E44"/>
    <w:rsid w:val="633451DD"/>
    <w:rsid w:val="637D3C64"/>
    <w:rsid w:val="64920625"/>
    <w:rsid w:val="64D424AF"/>
    <w:rsid w:val="654B4ECE"/>
    <w:rsid w:val="65D72CE6"/>
    <w:rsid w:val="6652313C"/>
    <w:rsid w:val="66A1236A"/>
    <w:rsid w:val="66B25C5D"/>
    <w:rsid w:val="66F81464"/>
    <w:rsid w:val="67470CF6"/>
    <w:rsid w:val="674A268E"/>
    <w:rsid w:val="676D2EF1"/>
    <w:rsid w:val="67C917AA"/>
    <w:rsid w:val="686B65B3"/>
    <w:rsid w:val="69B55205"/>
    <w:rsid w:val="6A09428A"/>
    <w:rsid w:val="6AF27672"/>
    <w:rsid w:val="6B406153"/>
    <w:rsid w:val="6BAB08FA"/>
    <w:rsid w:val="6BC93CA0"/>
    <w:rsid w:val="6BFC1B04"/>
    <w:rsid w:val="6C407647"/>
    <w:rsid w:val="6C980577"/>
    <w:rsid w:val="6D334D14"/>
    <w:rsid w:val="6D69712A"/>
    <w:rsid w:val="6D91249F"/>
    <w:rsid w:val="6DD700CE"/>
    <w:rsid w:val="6EB86A8C"/>
    <w:rsid w:val="6F1020AD"/>
    <w:rsid w:val="6F3071A7"/>
    <w:rsid w:val="6F776A4F"/>
    <w:rsid w:val="6FC26274"/>
    <w:rsid w:val="70990C0D"/>
    <w:rsid w:val="70E16C06"/>
    <w:rsid w:val="71477480"/>
    <w:rsid w:val="71D14145"/>
    <w:rsid w:val="71F6540F"/>
    <w:rsid w:val="72B31904"/>
    <w:rsid w:val="737E20C7"/>
    <w:rsid w:val="74F105AB"/>
    <w:rsid w:val="759772DE"/>
    <w:rsid w:val="76362A12"/>
    <w:rsid w:val="767330A3"/>
    <w:rsid w:val="76D927D5"/>
    <w:rsid w:val="773C481C"/>
    <w:rsid w:val="77923542"/>
    <w:rsid w:val="77A22532"/>
    <w:rsid w:val="77CB3F27"/>
    <w:rsid w:val="7846010E"/>
    <w:rsid w:val="78CB5F95"/>
    <w:rsid w:val="795264C0"/>
    <w:rsid w:val="79EA666D"/>
    <w:rsid w:val="79FF4DA6"/>
    <w:rsid w:val="7A040EF8"/>
    <w:rsid w:val="7B06644D"/>
    <w:rsid w:val="7B0952BB"/>
    <w:rsid w:val="7BAE23D2"/>
    <w:rsid w:val="7C0F6371"/>
    <w:rsid w:val="7C2D14A8"/>
    <w:rsid w:val="7CDD090C"/>
    <w:rsid w:val="7E6654F2"/>
    <w:rsid w:val="7EEC6F1F"/>
    <w:rsid w:val="7F0C4EBA"/>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2"/>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annotation text"/>
    <w:basedOn w:val="1"/>
    <w:link w:val="27"/>
    <w:unhideWhenUsed/>
    <w:qFormat/>
    <w:uiPriority w:val="99"/>
    <w:pPr>
      <w:jc w:val="left"/>
    </w:pPr>
  </w:style>
  <w:style w:type="paragraph" w:styleId="9">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8"/>
    <w:next w:val="8"/>
    <w:link w:val="28"/>
    <w:unhideWhenUsed/>
    <w:qFormat/>
    <w:uiPriority w:val="99"/>
    <w:rPr>
      <w:b/>
      <w:bCs/>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4"/>
    <w:qFormat/>
    <w:uiPriority w:val="0"/>
    <w:rPr>
      <w:rFonts w:ascii="宋体" w:hAnsi="宋体" w:eastAsia="宋体"/>
      <w:sz w:val="24"/>
      <w:szCs w:val="24"/>
    </w:rPr>
  </w:style>
  <w:style w:type="character" w:customStyle="1" w:styleId="23">
    <w:name w:val="正文2 Char Char"/>
    <w:basedOn w:val="17"/>
    <w:link w:val="24"/>
    <w:qFormat/>
    <w:uiPriority w:val="0"/>
    <w:rPr>
      <w:spacing w:val="18"/>
      <w:sz w:val="32"/>
    </w:rPr>
  </w:style>
  <w:style w:type="paragraph" w:customStyle="1" w:styleId="24">
    <w:name w:val="正文2"/>
    <w:link w:val="2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批注文字 Char"/>
    <w:basedOn w:val="17"/>
    <w:link w:val="8"/>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1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2</TotalTime>
  <ScaleCrop>false</ScaleCrop>
  <LinksUpToDate>false</LinksUpToDate>
  <CharactersWithSpaces>3432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2018-10-10T02:28:00Z</cp:lastPrinted>
  <dcterms:modified xsi:type="dcterms:W3CDTF">2020-11-28T00:17:57Z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